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9852A3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117.65pt;margin-top:78.9pt;width:237.15pt;height:4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Text Box 2">
              <w:txbxContent>
                <w:p w:rsidR="003D172F" w:rsidRPr="0002388B" w:rsidRDefault="00981D6C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Course</w:t>
                  </w:r>
                  <w:r w:rsidR="003D172F"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 Syllabus</w:t>
                  </w: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9852A3" w:rsidP="00B32278">
      <w:r>
        <w:rPr>
          <w:noProof/>
          <w:sz w:val="32"/>
          <w:szCs w:val="32"/>
          <w:lang w:val="en-US"/>
        </w:rPr>
        <w:pict>
          <v:shape id="_x0000_s1037" type="#_x0000_t202" style="position:absolute;margin-left:.75pt;margin-top:.85pt;width:492.45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7">
              <w:txbxContent>
                <w:p w:rsidR="003D172F" w:rsidRPr="00A1666C" w:rsidRDefault="003D172F" w:rsidP="00F07062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981D6C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English </w:t>
                  </w:r>
                  <w:r w:rsidR="004B691F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Grammar (1) </w:t>
                  </w: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  <w:p w:rsidR="003D172F" w:rsidRPr="0002388B" w:rsidRDefault="003D172F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9852A3" w:rsidP="00B32278">
      <w:r>
        <w:rPr>
          <w:noProof/>
          <w:lang w:val="en-US"/>
        </w:rPr>
        <w:pict>
          <v:shape id="_x0000_s1040" type="#_x0000_t202" style="position:absolute;margin-left:53.55pt;margin-top:4pt;width:370.65pt;height:49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0">
              <w:txbxContent>
                <w:p w:rsidR="004941F4" w:rsidRPr="00A1666C" w:rsidRDefault="004941F4" w:rsidP="00F07062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4B691F" w:rsidRPr="004B691F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lang w:bidi="ar-JO"/>
                    </w:rPr>
                    <w:t>01022121</w:t>
                  </w: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  <w:p w:rsidR="004941F4" w:rsidRPr="0002388B" w:rsidRDefault="004941F4" w:rsidP="004941F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1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847243" w:rsidP="008A5694">
            <w:pPr>
              <w:pStyle w:val="ps1Char"/>
            </w:pPr>
            <w:r>
              <w:t xml:space="preserve">English </w:t>
            </w:r>
            <w:r w:rsidR="004B691F">
              <w:t>Grammar 1</w:t>
            </w:r>
          </w:p>
        </w:tc>
      </w:tr>
      <w:tr w:rsidR="009F38DA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A1666C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01022121</w:t>
            </w:r>
          </w:p>
        </w:tc>
      </w:tr>
      <w:tr w:rsidR="009F38DA" w:rsidRPr="00FC5969" w:rsidTr="00653AB9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A1666C" w:rsidRDefault="004B691F" w:rsidP="008A5694">
            <w:pPr>
              <w:pStyle w:val="ps1Char"/>
            </w:pPr>
            <w:r>
              <w:t>3 hours</w:t>
            </w:r>
          </w:p>
        </w:tc>
      </w:tr>
      <w:tr w:rsidR="009F38DA" w:rsidRPr="00FC5969" w:rsidTr="00653AB9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A420B1" w:rsidP="008A5694">
            <w:pPr>
              <w:pStyle w:val="ps1Char"/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Pr="00B00B30">
              <w:t>per week( 1 theory &amp; 2 Practical) / 45 per month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</w:t>
            </w: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corequisites</w:t>
            </w:r>
            <w:proofErr w:type="spellEnd"/>
          </w:p>
        </w:tc>
        <w:tc>
          <w:tcPr>
            <w:tcW w:w="4680" w:type="dxa"/>
          </w:tcPr>
          <w:p w:rsidR="004B691F" w:rsidRPr="00A1666C" w:rsidRDefault="004B691F" w:rsidP="00B719EA">
            <w:pPr>
              <w:pStyle w:val="ps1Char"/>
            </w:pPr>
            <w:r w:rsidRPr="00567A37">
              <w:rPr>
                <w:rFonts w:asciiTheme="majorBidi" w:hAnsiTheme="majorBidi" w:cstheme="majorBidi"/>
                <w:sz w:val="24"/>
                <w:szCs w:val="24"/>
              </w:rPr>
              <w:t>01101112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Academic Program</w:t>
            </w:r>
          </w:p>
        </w:tc>
        <w:tc>
          <w:tcPr>
            <w:tcW w:w="4680" w:type="dxa"/>
          </w:tcPr>
          <w:p w:rsidR="004B691F" w:rsidRPr="00A1666C" w:rsidRDefault="00CB1694" w:rsidP="00B719EA">
            <w:pPr>
              <w:pStyle w:val="ps1Char"/>
            </w:pPr>
            <w:r>
              <w:t xml:space="preserve">English Language / Literature &amp; </w:t>
            </w:r>
            <w:r w:rsidRPr="00995E7A">
              <w:t xml:space="preserve">English Language / </w:t>
            </w:r>
            <w:r>
              <w:t>Translation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 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4680" w:type="dxa"/>
          </w:tcPr>
          <w:p w:rsidR="004B691F" w:rsidRPr="00A1666C" w:rsidRDefault="00CB1694" w:rsidP="008A5694">
            <w:pPr>
              <w:pStyle w:val="ps1Char"/>
            </w:pPr>
            <w:r>
              <w:t>02 / 08</w:t>
            </w:r>
          </w:p>
        </w:tc>
      </w:tr>
      <w:tr w:rsidR="00CB1694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CB1694" w:rsidRPr="00A45946" w:rsidRDefault="00CB1694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CB1694" w:rsidRPr="00A1666C" w:rsidRDefault="00CB1694" w:rsidP="006A0EB4">
            <w:pPr>
              <w:pStyle w:val="ps1Char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4B691F" w:rsidRPr="00A1666C" w:rsidRDefault="00BC6102" w:rsidP="008A5694">
            <w:pPr>
              <w:pStyle w:val="ps1Char"/>
            </w:pPr>
            <w:r>
              <w:t xml:space="preserve">Faculty of Arts 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CB1694" w:rsidRDefault="00CB1694" w:rsidP="00CB1694">
            <w:pPr>
              <w:pStyle w:val="ps1Char"/>
            </w:pPr>
            <w:r>
              <w:t>Dept. of English Language / Literature</w:t>
            </w:r>
          </w:p>
          <w:p w:rsidR="004B691F" w:rsidRPr="00A1666C" w:rsidRDefault="00CB1694" w:rsidP="00CB1694">
            <w:pPr>
              <w:pStyle w:val="ps1Char"/>
            </w:pPr>
            <w:r w:rsidRPr="00995E7A">
              <w:t>Dept. of English Language / Translation</w:t>
            </w:r>
          </w:p>
        </w:tc>
      </w:tr>
      <w:tr w:rsidR="004B691F" w:rsidRPr="00FC5969" w:rsidTr="00653AB9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4B691F" w:rsidRPr="00A1666C" w:rsidRDefault="00BC6102" w:rsidP="008A5694">
            <w:pPr>
              <w:pStyle w:val="ps1Char"/>
            </w:pPr>
            <w:r>
              <w:t xml:space="preserve">Second year – First Semester 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</w:tcPr>
          <w:p w:rsidR="004B691F" w:rsidRPr="00F57F5A" w:rsidRDefault="004B691F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4B691F" w:rsidRPr="00A1666C" w:rsidRDefault="00BC6102" w:rsidP="008A5694">
            <w:pPr>
              <w:pStyle w:val="ps1Char"/>
            </w:pPr>
            <w:r>
              <w:t xml:space="preserve">2019 – 2020 First Semester 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Awarded 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q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4B691F" w:rsidRPr="00A1666C" w:rsidRDefault="00847243" w:rsidP="008A5694">
            <w:pPr>
              <w:pStyle w:val="ps1Char"/>
            </w:pPr>
            <w:r>
              <w:t>Bachelor Degree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DD25CD" w:rsidRDefault="004B691F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4B691F" w:rsidRPr="00A1666C" w:rsidDel="000E10C1" w:rsidRDefault="00981D6C" w:rsidP="008A5694">
            <w:pPr>
              <w:pStyle w:val="ps1Char"/>
            </w:pPr>
            <w:r>
              <w:t>None</w:t>
            </w:r>
          </w:p>
        </w:tc>
      </w:tr>
      <w:tr w:rsidR="004B691F" w:rsidRPr="00FC5969" w:rsidTr="00653AB9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4B691F" w:rsidRPr="00047D5D" w:rsidRDefault="004B691F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4B691F" w:rsidRPr="00A1666C" w:rsidRDefault="00BC6102" w:rsidP="008A5694">
            <w:pPr>
              <w:pStyle w:val="ps1Char"/>
            </w:pPr>
            <w:r>
              <w:t xml:space="preserve">English </w:t>
            </w:r>
          </w:p>
        </w:tc>
      </w:tr>
      <w:tr w:rsidR="004B691F" w:rsidRPr="00FC5969" w:rsidTr="00653AB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4B691F" w:rsidRPr="00A1666C" w:rsidRDefault="00847243" w:rsidP="00981D6C">
            <w:pPr>
              <w:pStyle w:val="ps1Char"/>
            </w:pPr>
            <w:r>
              <w:t>1</w:t>
            </w:r>
            <w:r w:rsidR="00981D6C">
              <w:t>6</w:t>
            </w:r>
            <w:r>
              <w:t xml:space="preserve"> / 10/ 2019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5C3CE3" w:rsidRPr="003A7A5F" w:rsidRDefault="00B461DD" w:rsidP="00F07062">
            <w:pPr>
              <w:pStyle w:val="ps1Char"/>
              <w:rPr>
                <w:b/>
                <w:bCs/>
              </w:rPr>
            </w:pPr>
            <w:r w:rsidRPr="00B461DD">
              <w:rPr>
                <w:b/>
                <w:bCs/>
              </w:rPr>
              <w:t>Coordinator</w:t>
            </w:r>
            <w:r>
              <w:rPr>
                <w:b/>
                <w:bCs/>
              </w:rPr>
              <w:t>'s</w:t>
            </w:r>
            <w:r w:rsidRPr="00B461DD">
              <w:rPr>
                <w:b/>
                <w:bCs/>
              </w:rPr>
              <w:t xml:space="preserve"> </w:t>
            </w:r>
            <w:r w:rsidR="005C3CE3" w:rsidRPr="003A7A5F">
              <w:rPr>
                <w:b/>
                <w:bCs/>
              </w:rPr>
              <w:t xml:space="preserve">Name:  </w:t>
            </w:r>
            <w:proofErr w:type="spellStart"/>
            <w:r w:rsidR="00BC6102" w:rsidRPr="00FA17BA">
              <w:t>Doaa</w:t>
            </w:r>
            <w:proofErr w:type="spellEnd"/>
            <w:r w:rsidR="00BC6102" w:rsidRPr="00FA17BA">
              <w:t xml:space="preserve"> </w:t>
            </w:r>
            <w:proofErr w:type="spellStart"/>
            <w:r w:rsidR="00BC6102" w:rsidRPr="00FA17BA">
              <w:t>Riziq</w:t>
            </w:r>
            <w:proofErr w:type="spellEnd"/>
            <w:r w:rsidR="00BC6102">
              <w:rPr>
                <w:b/>
                <w:bCs/>
              </w:rPr>
              <w:t xml:space="preserve"> </w:t>
            </w:r>
          </w:p>
          <w:p w:rsidR="003B64AF" w:rsidRPr="003A7A5F" w:rsidRDefault="003B64AF" w:rsidP="00F07062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No.: </w:t>
            </w:r>
            <w:r w:rsidR="00847243">
              <w:t>2103</w:t>
            </w:r>
          </w:p>
          <w:p w:rsidR="005C3CE3" w:rsidRPr="003A7A5F" w:rsidRDefault="005C3CE3" w:rsidP="00B461DD">
            <w:pPr>
              <w:pStyle w:val="ps1Char"/>
              <w:rPr>
                <w:b/>
                <w:bCs/>
                <w:i/>
                <w:iCs/>
              </w:rPr>
            </w:pPr>
            <w:r w:rsidRPr="003A7A5F">
              <w:rPr>
                <w:b/>
                <w:bCs/>
              </w:rPr>
              <w:t xml:space="preserve"> Office Phone:  </w:t>
            </w:r>
            <w:r w:rsidR="003D0BBA" w:rsidRPr="00847243">
              <w:t>2396</w:t>
            </w:r>
          </w:p>
          <w:p w:rsidR="00981D6C" w:rsidRPr="00847243" w:rsidRDefault="003B64AF" w:rsidP="00981D6C">
            <w:pPr>
              <w:pStyle w:val="ps1Char"/>
            </w:pPr>
            <w:r w:rsidRPr="003A7A5F">
              <w:rPr>
                <w:b/>
                <w:bCs/>
              </w:rPr>
              <w:t xml:space="preserve">Office Hours:  </w:t>
            </w:r>
            <w:r w:rsidR="00981D6C" w:rsidRPr="006009EE">
              <w:rPr>
                <w:b/>
                <w:bCs/>
              </w:rPr>
              <w:t>(Sun: 12:00 – 1:00, Tues: 9:00 – 10:00, Thurs, 12 – 1) (Mon., Wed. 9:30 – 11:00)</w:t>
            </w:r>
          </w:p>
          <w:p w:rsidR="00E92AE5" w:rsidRDefault="003B64AF" w:rsidP="0084724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Email:  </w:t>
            </w:r>
            <w:hyperlink r:id="rId13" w:history="1">
              <w:r w:rsidR="00E92AE5" w:rsidRPr="00181892">
                <w:rPr>
                  <w:rStyle w:val="Hyperlink"/>
                  <w:rFonts w:ascii="Times New Roman" w:hAnsi="Times New Roman" w:cs="Times New Roman"/>
                  <w:b/>
                  <w:bCs/>
                </w:rPr>
                <w:t>doaa.riziq@iu.edu.jo</w:t>
              </w:r>
            </w:hyperlink>
          </w:p>
          <w:p w:rsidR="00847243" w:rsidRPr="00847243" w:rsidRDefault="00847243" w:rsidP="00847243">
            <w:pPr>
              <w:pStyle w:val="ps1Char"/>
              <w:rPr>
                <w:b/>
                <w:bCs/>
              </w:rPr>
            </w:pPr>
          </w:p>
        </w:tc>
      </w:tr>
    </w:tbl>
    <w:p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EF" w:rsidRPr="003A7A5F" w:rsidRDefault="00AC7CEF" w:rsidP="00AC7CEF">
            <w:pPr>
              <w:pStyle w:val="ps1Char"/>
            </w:pPr>
            <w:r w:rsidRPr="00AC7CEF">
              <w:rPr>
                <w:b/>
                <w:bCs/>
              </w:rPr>
              <w:t>Instructor’s Name:</w:t>
            </w:r>
            <w:r w:rsidRPr="003A7A5F">
              <w:t xml:space="preserve">  </w:t>
            </w:r>
            <w:r>
              <w:t xml:space="preserve">Dr. Fatima Al- </w:t>
            </w:r>
            <w:proofErr w:type="spellStart"/>
            <w:r>
              <w:t>Qeyam</w:t>
            </w:r>
            <w:proofErr w:type="spellEnd"/>
          </w:p>
          <w:p w:rsidR="00AC7CEF" w:rsidRPr="003A7A5F" w:rsidRDefault="00AC7CEF" w:rsidP="00AC7CEF">
            <w:pPr>
              <w:pStyle w:val="ps1Char"/>
            </w:pPr>
            <w:r w:rsidRPr="00AC7CEF">
              <w:rPr>
                <w:b/>
                <w:bCs/>
              </w:rPr>
              <w:t>Office No.:</w:t>
            </w:r>
            <w:r w:rsidRPr="003A7A5F">
              <w:t xml:space="preserve"> </w:t>
            </w:r>
            <w:r>
              <w:t>2303</w:t>
            </w:r>
          </w:p>
          <w:p w:rsidR="00AC7CEF" w:rsidRPr="003A7A5F" w:rsidRDefault="00AC7CEF" w:rsidP="00AC7CEF">
            <w:pPr>
              <w:pStyle w:val="ps1Char"/>
              <w:rPr>
                <w:i/>
                <w:iCs/>
              </w:rPr>
            </w:pPr>
            <w:r w:rsidRPr="003A7A5F">
              <w:t xml:space="preserve"> </w:t>
            </w:r>
            <w:r w:rsidRPr="00AC7CEF">
              <w:rPr>
                <w:b/>
                <w:bCs/>
              </w:rPr>
              <w:t>Office Phone</w:t>
            </w:r>
            <w:r w:rsidRPr="003A7A5F">
              <w:t xml:space="preserve">:  </w:t>
            </w:r>
            <w:r>
              <w:t>2417</w:t>
            </w:r>
          </w:p>
          <w:p w:rsidR="00AC7CEF" w:rsidRPr="003A7A5F" w:rsidRDefault="00AC7CEF" w:rsidP="00AC7CEF">
            <w:pPr>
              <w:pStyle w:val="ps1Char"/>
            </w:pPr>
            <w:r w:rsidRPr="00AC7CEF">
              <w:rPr>
                <w:b/>
                <w:bCs/>
              </w:rPr>
              <w:t>Office Hours:</w:t>
            </w:r>
            <w:r w:rsidRPr="003A7A5F">
              <w:t xml:space="preserve">  </w:t>
            </w:r>
            <w:r>
              <w:rPr>
                <w:b/>
                <w:bCs/>
              </w:rPr>
              <w:t>(Sun; 10:00-11:00 Tues; 12:00-1:00 Thurs; 1:00-2:00) (Mon, 12:30-2:00 Wed; 9:30-11:00)</w:t>
            </w:r>
          </w:p>
          <w:p w:rsidR="00847243" w:rsidRPr="004D2BE3" w:rsidRDefault="00AC7CEF" w:rsidP="00AC7CEF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Email:  </w:t>
            </w:r>
            <w:hyperlink r:id="rId14" w:history="1">
              <w:r w:rsidRPr="00720A49">
                <w:rPr>
                  <w:rStyle w:val="Hyperlink"/>
                  <w:rFonts w:ascii="Times New Roman" w:hAnsi="Times New Roman" w:cs="Times New Roman"/>
                  <w:b/>
                  <w:bCs/>
                </w:rPr>
                <w:t>Fatima.al-qeyam@iu.edu.jo</w:t>
              </w:r>
            </w:hyperlink>
          </w:p>
        </w:tc>
      </w:tr>
    </w:tbl>
    <w:p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68" w:rsidRPr="00847243" w:rsidRDefault="00847243" w:rsidP="00426A22">
            <w:pPr>
              <w:jc w:val="lowKashida"/>
              <w:rPr>
                <w:rFonts w:asciiTheme="majorBidi" w:hAnsiTheme="majorBidi" w:cstheme="majorBidi"/>
                <w:lang w:val="en-US"/>
              </w:rPr>
            </w:pPr>
            <w:r w:rsidRPr="00847243">
              <w:rPr>
                <w:rFonts w:asciiTheme="majorBidi" w:hAnsiTheme="majorBidi" w:cstheme="majorBidi"/>
                <w:color w:val="000000"/>
                <w:sz w:val="24"/>
              </w:rPr>
              <w:t>General introduction to Grammar: Parts of speech, Sentence elements, Simple Tenses, Progressive Tenses, Perfect Tenses, Tag Questions, Interrogatives, Negatives.</w:t>
            </w: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847243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en-US"/>
              </w:rPr>
            </w:pPr>
          </w:p>
          <w:p w:rsidR="00EE0CDE" w:rsidRPr="00847243" w:rsidRDefault="00847243" w:rsidP="00CB1694">
            <w:pPr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847243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 xml:space="preserve">Murphy, R, </w:t>
            </w:r>
            <w:r w:rsidRPr="00CB1694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hd w:val="clear" w:color="auto" w:fill="FFFFFF"/>
              </w:rPr>
              <w:t>English Grammar in Use</w:t>
            </w:r>
            <w:r w:rsidRPr="00847243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, Cambridge University Press, Fourth Edition, (2012).</w:t>
            </w: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3F3EDD" w:rsidRDefault="00192405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audio-visuals:</w:t>
            </w:r>
          </w:p>
          <w:p w:rsidR="00847243" w:rsidRPr="00847243" w:rsidRDefault="00847243" w:rsidP="008472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Funchs</w:t>
            </w:r>
            <w:proofErr w:type="spellEnd"/>
            <w:r w:rsidRPr="00847243">
              <w:rPr>
                <w:rFonts w:asciiTheme="majorHAnsi" w:hAnsiTheme="majorHAnsi" w:cs="GentiumBookBasic"/>
                <w:color w:val="333333"/>
              </w:rPr>
              <w:t xml:space="preserve">, M. Bonner, M. </w:t>
            </w:r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>Grammar Express for Self – Study and Classroom Use</w:t>
            </w:r>
            <w:r w:rsidRPr="00847243">
              <w:rPr>
                <w:rFonts w:asciiTheme="majorHAnsi" w:hAnsiTheme="majorHAnsi" w:cs="GentiumBookBasic"/>
                <w:color w:val="333333"/>
              </w:rPr>
              <w:t xml:space="preserve">. Addison Wesley </w:t>
            </w: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Longman,Inc</w:t>
            </w:r>
            <w:proofErr w:type="spellEnd"/>
            <w:r>
              <w:rPr>
                <w:rFonts w:asciiTheme="majorHAnsi" w:hAnsiTheme="majorHAnsi" w:cs="GentiumBookBasic"/>
                <w:color w:val="333333"/>
              </w:rPr>
              <w:t xml:space="preserve"> </w:t>
            </w:r>
            <w:r w:rsidRPr="00847243">
              <w:rPr>
                <w:rFonts w:asciiTheme="majorHAnsi" w:hAnsiTheme="majorHAnsi" w:cs="GentiumBookBasic"/>
                <w:color w:val="333333"/>
              </w:rPr>
              <w:t>(2001)</w:t>
            </w:r>
          </w:p>
          <w:p w:rsidR="00847243" w:rsidRPr="00203ED1" w:rsidRDefault="00847243" w:rsidP="00847243">
            <w:p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</w:p>
          <w:p w:rsidR="00847243" w:rsidRPr="00847243" w:rsidRDefault="00847243" w:rsidP="008472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Azar</w:t>
            </w:r>
            <w:proofErr w:type="spellEnd"/>
            <w:r w:rsidRPr="00847243">
              <w:rPr>
                <w:rFonts w:asciiTheme="majorHAnsi" w:hAnsiTheme="majorHAnsi" w:cs="GentiumBookBasic"/>
                <w:color w:val="333333"/>
              </w:rPr>
              <w:t xml:space="preserve">, B. </w:t>
            </w:r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 xml:space="preserve">Understanding and Using English </w:t>
            </w:r>
            <w:proofErr w:type="spellStart"/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>Grammar.</w:t>
            </w:r>
            <w:r w:rsidRPr="00847243">
              <w:rPr>
                <w:rFonts w:asciiTheme="majorHAnsi" w:hAnsiTheme="majorHAnsi" w:cs="GentiumBookBasic"/>
                <w:color w:val="333333"/>
              </w:rPr>
              <w:t>Prentice</w:t>
            </w:r>
            <w:proofErr w:type="spellEnd"/>
            <w:r w:rsidRPr="00847243">
              <w:rPr>
                <w:rFonts w:asciiTheme="majorHAnsi" w:hAnsiTheme="majorHAnsi" w:cs="GentiumBookBasic"/>
                <w:color w:val="333333"/>
              </w:rPr>
              <w:t xml:space="preserve"> Hall Regents Upper Saddle River, New Jersey 07458</w:t>
            </w:r>
            <w:r>
              <w:rPr>
                <w:rFonts w:asciiTheme="majorHAnsi" w:hAnsiTheme="majorHAnsi" w:cs="GentiumBookBasic"/>
                <w:color w:val="333333"/>
              </w:rPr>
              <w:t xml:space="preserve"> </w:t>
            </w:r>
            <w:r w:rsidRPr="00847243">
              <w:rPr>
                <w:rFonts w:asciiTheme="majorHAnsi" w:hAnsiTheme="majorHAnsi" w:cs="GentiumBookBasic"/>
                <w:color w:val="333333"/>
              </w:rPr>
              <w:t>(1989).</w:t>
            </w:r>
          </w:p>
          <w:p w:rsidR="00847243" w:rsidRPr="00203ED1" w:rsidRDefault="00847243" w:rsidP="00847243">
            <w:p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</w:p>
          <w:p w:rsidR="00847243" w:rsidRPr="00847243" w:rsidRDefault="00847243" w:rsidP="008472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Shammas</w:t>
            </w:r>
            <w:proofErr w:type="spellEnd"/>
            <w:r w:rsidRPr="00847243">
              <w:rPr>
                <w:rFonts w:asciiTheme="majorHAnsi" w:hAnsiTheme="majorHAnsi" w:cs="GentiumBookBasic"/>
                <w:color w:val="333333"/>
              </w:rPr>
              <w:t xml:space="preserve">, </w:t>
            </w: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N</w:t>
            </w:r>
            <w:r>
              <w:rPr>
                <w:rFonts w:asciiTheme="majorHAnsi" w:hAnsiTheme="majorHAnsi" w:cs="GentiumBookBasic"/>
                <w:color w:val="333333"/>
              </w:rPr>
              <w:t>.</w:t>
            </w:r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>Use</w:t>
            </w:r>
            <w:proofErr w:type="spellEnd"/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 xml:space="preserve"> in English</w:t>
            </w:r>
            <w:r w:rsidRPr="00847243">
              <w:rPr>
                <w:rFonts w:asciiTheme="majorHAnsi" w:hAnsiTheme="majorHAnsi" w:cs="GentiumBookBasic"/>
                <w:color w:val="333333"/>
              </w:rPr>
              <w:t xml:space="preserve">. </w:t>
            </w:r>
            <w:proofErr w:type="spellStart"/>
            <w:r w:rsidRPr="00847243">
              <w:rPr>
                <w:rFonts w:asciiTheme="majorHAnsi" w:hAnsiTheme="majorHAnsi" w:cs="GentiumBookBasic"/>
                <w:color w:val="333333"/>
              </w:rPr>
              <w:t>Aydi</w:t>
            </w:r>
            <w:r>
              <w:rPr>
                <w:rFonts w:asciiTheme="majorHAnsi" w:hAnsiTheme="majorHAnsi" w:cs="GentiumBookBasic"/>
                <w:color w:val="333333"/>
              </w:rPr>
              <w:t>Priniting</w:t>
            </w:r>
            <w:proofErr w:type="spellEnd"/>
            <w:r>
              <w:rPr>
                <w:rFonts w:asciiTheme="majorHAnsi" w:hAnsiTheme="majorHAnsi" w:cs="GentiumBookBasic"/>
                <w:color w:val="333333"/>
              </w:rPr>
              <w:t xml:space="preserve"> House Damascus, Syria </w:t>
            </w:r>
            <w:r w:rsidRPr="00847243">
              <w:rPr>
                <w:rFonts w:asciiTheme="majorHAnsi" w:hAnsiTheme="majorHAnsi" w:cs="GentiumBookBasic"/>
                <w:color w:val="333333"/>
              </w:rPr>
              <w:t>(2000).</w:t>
            </w:r>
          </w:p>
          <w:p w:rsidR="00847243" w:rsidRPr="00203ED1" w:rsidRDefault="00847243" w:rsidP="00847243">
            <w:p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</w:p>
          <w:p w:rsidR="00847243" w:rsidRPr="00847243" w:rsidRDefault="00847243" w:rsidP="0084724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ajorHAnsi" w:hAnsiTheme="majorHAnsi" w:cs="GentiumBookBasic"/>
                <w:color w:val="333333"/>
              </w:rPr>
            </w:pPr>
            <w:r w:rsidRPr="00847243">
              <w:rPr>
                <w:rFonts w:asciiTheme="majorHAnsi" w:hAnsiTheme="majorHAnsi" w:cs="GentiumBookBasic"/>
                <w:color w:val="333333"/>
              </w:rPr>
              <w:t>Eastwood, J</w:t>
            </w:r>
            <w:proofErr w:type="gramStart"/>
            <w:r w:rsidRPr="00847243">
              <w:rPr>
                <w:rFonts w:asciiTheme="majorHAnsi" w:hAnsiTheme="majorHAnsi" w:cs="GentiumBookBasic"/>
                <w:color w:val="333333"/>
              </w:rPr>
              <w:t>.(</w:t>
            </w:r>
            <w:proofErr w:type="gramEnd"/>
            <w:r w:rsidRPr="00847243">
              <w:rPr>
                <w:rFonts w:asciiTheme="majorHAnsi" w:hAnsiTheme="majorHAnsi" w:cs="GentiumBookBasic"/>
                <w:color w:val="333333"/>
              </w:rPr>
              <w:t xml:space="preserve"> 1994) </w:t>
            </w:r>
            <w:r w:rsidRPr="00CB1694">
              <w:rPr>
                <w:rFonts w:asciiTheme="majorHAnsi" w:hAnsiTheme="majorHAnsi" w:cs="GentiumBookBasic"/>
                <w:b/>
                <w:bCs/>
                <w:i/>
                <w:iCs/>
                <w:color w:val="333333"/>
              </w:rPr>
              <w:t>Oxford Guide to English Grammar</w:t>
            </w:r>
            <w:r w:rsidRPr="00847243">
              <w:rPr>
                <w:rFonts w:asciiTheme="majorHAnsi" w:hAnsiTheme="majorHAnsi" w:cs="GentiumBookBasic"/>
                <w:color w:val="333333"/>
              </w:rPr>
              <w:t>. Oxford University Press. (2000).</w:t>
            </w:r>
          </w:p>
          <w:p w:rsidR="00DB6081" w:rsidRPr="002A092A" w:rsidRDefault="00DB6081" w:rsidP="00847243">
            <w:pPr>
              <w:spacing w:after="120"/>
              <w:ind w:left="72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847243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847243" w:rsidRPr="009316C4" w:rsidRDefault="00847243" w:rsidP="00847243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847243" w:rsidRPr="00847243" w:rsidRDefault="00847243" w:rsidP="00847243">
            <w:pPr>
              <w:spacing w:line="360" w:lineRule="auto"/>
              <w:jc w:val="lowKashida"/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</w:pPr>
            <w:r w:rsidRPr="00847243">
              <w:rPr>
                <w:rFonts w:asciiTheme="majorBidi" w:hAnsiTheme="majorBidi" w:cstheme="majorBidi"/>
                <w:sz w:val="24"/>
                <w:szCs w:val="32"/>
              </w:rPr>
              <w:t>Students should use the correct basic grammatical structures in different contexts.</w:t>
            </w:r>
          </w:p>
        </w:tc>
      </w:tr>
      <w:tr w:rsidR="00847243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847243" w:rsidRPr="009316C4" w:rsidRDefault="00847243" w:rsidP="00847243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847243" w:rsidRPr="00847243" w:rsidRDefault="00847243" w:rsidP="00847243">
            <w:pPr>
              <w:spacing w:line="360" w:lineRule="auto"/>
              <w:jc w:val="lowKashida"/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</w:pPr>
            <w:r w:rsidRPr="00847243"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  <w:t xml:space="preserve">Students should understand the form and function of the basic structures </w:t>
            </w:r>
            <w:proofErr w:type="gramStart"/>
            <w:r w:rsidRPr="00847243"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  <w:t>being focused on</w:t>
            </w:r>
            <w:proofErr w:type="gramEnd"/>
            <w:r w:rsidRPr="00847243"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  <w:t xml:space="preserve"> throughout the semester.</w:t>
            </w:r>
          </w:p>
        </w:tc>
      </w:tr>
      <w:tr w:rsidR="00847243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847243" w:rsidRPr="009316C4" w:rsidRDefault="00847243" w:rsidP="00847243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847243" w:rsidRPr="00847243" w:rsidRDefault="00847243" w:rsidP="00847243">
            <w:pPr>
              <w:spacing w:line="360" w:lineRule="auto"/>
              <w:jc w:val="lowKashida"/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</w:pPr>
            <w:r w:rsidRPr="00847243">
              <w:rPr>
                <w:rFonts w:asciiTheme="majorBidi" w:hAnsiTheme="majorBidi" w:cstheme="majorBidi"/>
                <w:sz w:val="24"/>
                <w:szCs w:val="32"/>
              </w:rPr>
              <w:t>Students should begin to self-edit their oral and written production.</w:t>
            </w:r>
          </w:p>
        </w:tc>
      </w:tr>
      <w:tr w:rsidR="00847243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847243" w:rsidRPr="009316C4" w:rsidRDefault="00847243" w:rsidP="00847243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847243" w:rsidRPr="00847243" w:rsidRDefault="00847243" w:rsidP="00847243">
            <w:pPr>
              <w:spacing w:line="360" w:lineRule="auto"/>
              <w:jc w:val="lowKashida"/>
              <w:rPr>
                <w:rFonts w:asciiTheme="majorBidi" w:hAnsiTheme="majorBidi" w:cstheme="majorBidi"/>
                <w:bCs/>
                <w:color w:val="000000"/>
                <w:sz w:val="24"/>
                <w:szCs w:val="32"/>
              </w:rPr>
            </w:pPr>
            <w:r w:rsidRPr="00847243">
              <w:rPr>
                <w:rFonts w:asciiTheme="majorBidi" w:hAnsiTheme="majorBidi" w:cstheme="majorBidi"/>
                <w:sz w:val="24"/>
                <w:szCs w:val="32"/>
              </w:rPr>
              <w:t xml:space="preserve">Students should accurately discuss how grammatical structure relates to meaning. </w:t>
            </w: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B461DD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333"/>
        <w:gridCol w:w="1622"/>
        <w:gridCol w:w="1466"/>
      </w:tblGrid>
      <w:tr w:rsidR="00E1761B" w:rsidRPr="009316C4" w:rsidTr="00DB6081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BA34C9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BA34C9" w:rsidRDefault="001F2545" w:rsidP="008A5694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:rsidTr="006259D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A5694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Knowledge and Understanding:</w:t>
            </w:r>
          </w:p>
        </w:tc>
      </w:tr>
      <w:tr w:rsidR="00E1761B" w:rsidRPr="009316C4" w:rsidTr="00B461DD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A5694">
            <w:pPr>
              <w:pStyle w:val="ps1numbered"/>
              <w:numPr>
                <w:ilvl w:val="0"/>
                <w:numId w:val="0"/>
              </w:numPr>
            </w:pPr>
            <w:r>
              <w:t>A1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Identify the functions of every taught grammatical structure.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847243" w:rsidP="00847243">
            <w:pPr>
              <w:pStyle w:val="ps1Char"/>
              <w:jc w:val="center"/>
            </w:pPr>
            <w:r>
              <w:t>2, 4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653AB9" w:rsidP="008A5694">
            <w:pPr>
              <w:pStyle w:val="ps1Char"/>
            </w:pPr>
            <w:r>
              <w:t>1 and 2</w:t>
            </w:r>
          </w:p>
        </w:tc>
      </w:tr>
      <w:tr w:rsidR="00E1761B" w:rsidRPr="009316C4" w:rsidTr="00B461DD">
        <w:trPr>
          <w:trHeight w:val="42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A2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Derive the correct interrogative and negative forms from main statements.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847243" w:rsidP="00847243">
            <w:pPr>
              <w:pStyle w:val="ps1Char"/>
              <w:jc w:val="center"/>
            </w:pPr>
            <w: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653AB9" w:rsidP="008A5694">
            <w:pPr>
              <w:pStyle w:val="ps1Char"/>
            </w:pPr>
            <w:r>
              <w:t>1</w:t>
            </w:r>
          </w:p>
        </w:tc>
      </w:tr>
      <w:tr w:rsidR="006259D2" w:rsidRPr="00FA6305" w:rsidTr="006259D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Intellectual skills:</w:t>
            </w:r>
          </w:p>
        </w:tc>
      </w:tr>
      <w:tr w:rsidR="00E1761B" w:rsidRPr="009316C4" w:rsidTr="00B461DD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C32ACE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B1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32ACE" w:rsidRPr="008A5694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Derive the correct interrogative and negative forms from main statements.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32ACE" w:rsidRPr="00BA34C9" w:rsidRDefault="00847243" w:rsidP="008A5694">
            <w:pPr>
              <w:pStyle w:val="ps1Char"/>
            </w:pPr>
            <w: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32ACE" w:rsidRPr="00BA34C9" w:rsidRDefault="00653AB9" w:rsidP="008A5694">
            <w:pPr>
              <w:pStyle w:val="ps1Char"/>
            </w:pPr>
            <w:r>
              <w:t>1</w:t>
            </w:r>
          </w:p>
        </w:tc>
      </w:tr>
      <w:tr w:rsidR="006259D2" w:rsidRPr="009316C4" w:rsidTr="00B461DD">
        <w:trPr>
          <w:trHeight w:val="263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B2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Edit their oral and written production.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53AB9" w:rsidP="008A5694">
            <w:pPr>
              <w:pStyle w:val="ps1Char"/>
            </w:pPr>
            <w:r>
              <w:t>1 and 4</w:t>
            </w:r>
          </w:p>
        </w:tc>
      </w:tr>
      <w:tr w:rsidR="006259D2" w:rsidRPr="009316C4" w:rsidTr="00B461DD">
        <w:trPr>
          <w:trHeight w:val="512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Subject specific skills:</w:t>
            </w:r>
          </w:p>
        </w:tc>
      </w:tr>
      <w:tr w:rsidR="006259D2" w:rsidRPr="009316C4" w:rsidTr="00B461DD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Use the correct basic structures of English grammar in different contexts.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53AB9" w:rsidP="008A5694">
            <w:pPr>
              <w:pStyle w:val="ps1Char"/>
            </w:pPr>
            <w:r>
              <w:t>1</w:t>
            </w:r>
          </w:p>
        </w:tc>
      </w:tr>
      <w:tr w:rsidR="006259D2" w:rsidRPr="009316C4" w:rsidTr="00B461DD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lastRenderedPageBreak/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Transferable skills:</w:t>
            </w:r>
          </w:p>
        </w:tc>
      </w:tr>
      <w:tr w:rsidR="006259D2" w:rsidRPr="009316C4" w:rsidTr="00B461DD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Use the correct basic structures of English grammar in different contexts.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53AB9" w:rsidP="008A5694">
            <w:pPr>
              <w:pStyle w:val="ps1Char"/>
            </w:pPr>
            <w:r>
              <w:t>1</w:t>
            </w:r>
          </w:p>
        </w:tc>
      </w:tr>
      <w:tr w:rsidR="006259D2" w:rsidRPr="009316C4" w:rsidTr="00B461DD">
        <w:trPr>
          <w:trHeight w:val="32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Use the functions properly.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t>2, 4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53AB9" w:rsidP="008A5694">
            <w:pPr>
              <w:pStyle w:val="ps1Char"/>
            </w:pPr>
            <w:r>
              <w:t>1 and 2</w:t>
            </w:r>
          </w:p>
        </w:tc>
      </w:tr>
      <w:tr w:rsidR="006259D2" w:rsidRPr="009316C4" w:rsidTr="00B461DD">
        <w:trPr>
          <w:trHeight w:val="40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847243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Edit their oral and written production.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847243" w:rsidP="008A5694">
            <w:pPr>
              <w:pStyle w:val="ps1Char"/>
            </w:pPr>
            <w: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53AB9" w:rsidP="008A5694">
            <w:pPr>
              <w:pStyle w:val="ps1Char"/>
            </w:pPr>
            <w:r>
              <w:t xml:space="preserve">1 and 4 </w:t>
            </w: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1D1E9F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1D1E9F" w:rsidTr="004D2BE3">
        <w:trPr>
          <w:trHeight w:val="367"/>
        </w:trPr>
        <w:tc>
          <w:tcPr>
            <w:tcW w:w="3158" w:type="pct"/>
            <w:shd w:val="clear" w:color="auto" w:fill="auto"/>
          </w:tcPr>
          <w:p w:rsidR="001D1E9F" w:rsidRPr="001D1E9F" w:rsidRDefault="00847243" w:rsidP="00E27632">
            <w:pPr>
              <w:tabs>
                <w:tab w:val="right" w:pos="6840"/>
              </w:tabs>
              <w:ind w:firstLine="8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Introduction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981D6C" w:rsidP="001D1E9F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4D2BE3">
        <w:trPr>
          <w:trHeight w:val="414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tabs>
                <w:tab w:val="right" w:pos="6840"/>
              </w:tabs>
              <w:ind w:firstLine="8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present and past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4D2BE3">
        <w:trPr>
          <w:trHeight w:val="278"/>
        </w:trPr>
        <w:tc>
          <w:tcPr>
            <w:tcW w:w="3158" w:type="pct"/>
            <w:shd w:val="clear" w:color="auto" w:fill="auto"/>
          </w:tcPr>
          <w:p w:rsidR="00847243" w:rsidRPr="001D1E9F" w:rsidRDefault="00847243" w:rsidP="00847243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bidi="ar-JO"/>
              </w:rPr>
              <w:t xml:space="preserve">Present perfect and past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bidi="ar-JO"/>
              </w:rPr>
              <w:t xml:space="preserve">Present perfect and past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847243">
            <w:pPr>
              <w:tabs>
                <w:tab w:val="right" w:pos="684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Future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E27632">
            <w:pPr>
              <w:pStyle w:val="BodyText"/>
              <w:ind w:right="32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Modals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1B0E21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Modals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E27632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Questions and Auxiliary Verbs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981D6C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A1, A2, B1, B2, C1, D1,D2,D3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Articles and Nouns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Articles and Nouns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Pronouns and determiners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9F4BFD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Adjectives and Adverbs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Adjectives and Adverbs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4D2BE3">
        <w:trPr>
          <w:trHeight w:val="359"/>
        </w:trPr>
        <w:tc>
          <w:tcPr>
            <w:tcW w:w="3158" w:type="pct"/>
            <w:shd w:val="clear" w:color="auto" w:fill="auto"/>
          </w:tcPr>
          <w:p w:rsidR="00847243" w:rsidRPr="001D1E9F" w:rsidRDefault="00847243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Conjunctions and prepositions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CB1694" w:rsidRDefault="00847243" w:rsidP="009F4BF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CB1694">
              <w:rPr>
                <w:rFonts w:asciiTheme="majorBidi" w:hAnsiTheme="majorBidi" w:cstheme="majorBidi"/>
                <w:sz w:val="24"/>
              </w:rPr>
              <w:t>A1, C1, D1</w:t>
            </w:r>
          </w:p>
        </w:tc>
      </w:tr>
      <w:tr w:rsidR="00847243" w:rsidTr="004D2BE3">
        <w:trPr>
          <w:trHeight w:val="253"/>
        </w:trPr>
        <w:tc>
          <w:tcPr>
            <w:tcW w:w="3158" w:type="pct"/>
            <w:shd w:val="clear" w:color="auto" w:fill="auto"/>
          </w:tcPr>
          <w:p w:rsidR="00847243" w:rsidRPr="001D1E9F" w:rsidRDefault="00847243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Revision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847243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847243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847243" w:rsidRPr="001D1E9F" w:rsidRDefault="00847243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47243" w:rsidRPr="001D1E9F" w:rsidRDefault="00847243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847243" w:rsidRPr="001D1E9F" w:rsidRDefault="00847243" w:rsidP="009F4BFD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8A5694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4D2BE3">
            <w:pPr>
              <w:pStyle w:val="ps1Char"/>
              <w:numPr>
                <w:ilvl w:val="0"/>
                <w:numId w:val="20"/>
              </w:numPr>
            </w:pPr>
            <w:r w:rsidRPr="00BA34C9">
              <w:t>Lectures</w:t>
            </w:r>
          </w:p>
        </w:tc>
      </w:tr>
    </w:tbl>
    <w:p w:rsidR="00847243" w:rsidRDefault="00847243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981D6C" w:rsidRDefault="00981D6C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4D2BE3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      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4D2BE3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4D2BE3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847243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</w:t>
            </w: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Pr="00473D5B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BA34C9" w:rsidRDefault="00F07062" w:rsidP="00AA164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AA1643">
              <w:rPr>
                <w:sz w:val="24"/>
                <w:szCs w:val="24"/>
              </w:rPr>
              <w:t xml:space="preserve">Midterm </w:t>
            </w:r>
            <w:r w:rsidR="00473D5B" w:rsidRPr="00BA34C9">
              <w:rPr>
                <w:sz w:val="24"/>
                <w:szCs w:val="24"/>
              </w:rPr>
              <w:t>Written Exam.</w:t>
            </w:r>
            <w:r w:rsidR="00847243">
              <w:rPr>
                <w:sz w:val="24"/>
                <w:szCs w:val="24"/>
              </w:rPr>
              <w:t xml:space="preserve">       </w:t>
            </w:r>
            <w:r w:rsidR="00AA1643">
              <w:rPr>
                <w:sz w:val="24"/>
                <w:szCs w:val="24"/>
              </w:rPr>
              <w:t>3</w:t>
            </w:r>
            <w:r w:rsidR="00847243">
              <w:rPr>
                <w:sz w:val="24"/>
                <w:szCs w:val="24"/>
              </w:rPr>
              <w:t>5%</w:t>
            </w:r>
          </w:p>
          <w:p w:rsidR="00473D5B" w:rsidRPr="00BA34C9" w:rsidRDefault="00F07062" w:rsidP="00AA164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Final Written Exam.</w:t>
            </w:r>
            <w:r w:rsidR="00847243">
              <w:rPr>
                <w:sz w:val="24"/>
                <w:szCs w:val="24"/>
              </w:rPr>
              <w:t xml:space="preserve">         </w:t>
            </w:r>
            <w:r w:rsidR="00AA1643">
              <w:rPr>
                <w:sz w:val="24"/>
                <w:szCs w:val="24"/>
              </w:rPr>
              <w:t xml:space="preserve">  </w:t>
            </w:r>
            <w:r w:rsidR="00847243">
              <w:rPr>
                <w:sz w:val="24"/>
                <w:szCs w:val="24"/>
              </w:rPr>
              <w:t xml:space="preserve"> </w:t>
            </w:r>
            <w:r w:rsidR="00AA1643">
              <w:rPr>
                <w:sz w:val="24"/>
                <w:szCs w:val="24"/>
              </w:rPr>
              <w:t>5</w:t>
            </w:r>
            <w:r w:rsidR="00847243">
              <w:rPr>
                <w:sz w:val="24"/>
                <w:szCs w:val="24"/>
              </w:rPr>
              <w:t>0%</w:t>
            </w:r>
          </w:p>
          <w:p w:rsidR="00473D5B" w:rsidRPr="00BA34C9" w:rsidRDefault="00DB6081" w:rsidP="00AA164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Homework.</w:t>
            </w:r>
            <w:r w:rsidR="00847243">
              <w:rPr>
                <w:sz w:val="24"/>
                <w:szCs w:val="24"/>
              </w:rPr>
              <w:t xml:space="preserve">                          </w:t>
            </w:r>
            <w:r w:rsidR="00AA1643">
              <w:rPr>
                <w:sz w:val="24"/>
                <w:szCs w:val="24"/>
              </w:rPr>
              <w:t>10</w:t>
            </w:r>
            <w:r w:rsidR="00847243">
              <w:rPr>
                <w:sz w:val="24"/>
                <w:szCs w:val="24"/>
              </w:rPr>
              <w:t>%</w:t>
            </w:r>
          </w:p>
          <w:p w:rsidR="00473D5B" w:rsidRPr="00BA34C9" w:rsidRDefault="00473D5B" w:rsidP="00CB16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Participation in Lecture.</w:t>
            </w:r>
            <w:r w:rsidR="00847243">
              <w:rPr>
                <w:sz w:val="24"/>
                <w:szCs w:val="24"/>
              </w:rPr>
              <w:t xml:space="preserve">      </w:t>
            </w:r>
            <w:r w:rsidR="00CB1694">
              <w:rPr>
                <w:sz w:val="24"/>
                <w:szCs w:val="24"/>
              </w:rPr>
              <w:t>5</w:t>
            </w:r>
            <w:r w:rsidR="00847243">
              <w:rPr>
                <w:sz w:val="24"/>
                <w:szCs w:val="24"/>
              </w:rPr>
              <w:t>%</w:t>
            </w:r>
          </w:p>
          <w:p w:rsidR="00473D5B" w:rsidRPr="00BA34C9" w:rsidRDefault="00473D5B" w:rsidP="00CB16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</w:p>
        </w:tc>
      </w:tr>
    </w:tbl>
    <w:p w:rsidR="00307D57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72"/>
      </w:tblGrid>
      <w:tr w:rsidR="00653AB9" w:rsidRPr="00F51FC2" w:rsidTr="00A164DE">
        <w:tc>
          <w:tcPr>
            <w:tcW w:w="10106" w:type="dxa"/>
            <w:gridSpan w:val="2"/>
            <w:shd w:val="clear" w:color="auto" w:fill="F2F2F2"/>
          </w:tcPr>
          <w:p w:rsidR="00653AB9" w:rsidRPr="009316C4" w:rsidRDefault="00653AB9" w:rsidP="00A164DE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1. 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 w:rsidRPr="00F91536">
              <w:t>Acquiring the basic language skills in English.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>
              <w:t>Understanding the disciplines of knowledge of the English language.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 w:rsidRPr="00F91536">
              <w:t>Developing different skills of contact and communication.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 w:rsidRPr="00F91536">
              <w:t>Analysing linguistic and literary texts.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>
              <w:t>The ability to adapt to different working environments and conditions.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 w:rsidRPr="00F91536">
              <w:t>Evaluating different working environments and conditions.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>
              <w:t>The ability to write scientific researches related to English language and literature.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9572" w:type="dxa"/>
            <w:shd w:val="clear" w:color="auto" w:fill="auto"/>
          </w:tcPr>
          <w:p w:rsidR="00653AB9" w:rsidRPr="000175CB" w:rsidRDefault="00653AB9" w:rsidP="00A164DE">
            <w:r w:rsidRPr="00F91536">
              <w:t>Acquiring technical skills in the field of scientific research.</w:t>
            </w:r>
          </w:p>
        </w:tc>
      </w:tr>
      <w:tr w:rsidR="00653AB9" w:rsidRPr="009316C4" w:rsidTr="00A164DE">
        <w:tc>
          <w:tcPr>
            <w:tcW w:w="534" w:type="dxa"/>
            <w:shd w:val="clear" w:color="auto" w:fill="auto"/>
          </w:tcPr>
          <w:p w:rsidR="00653AB9" w:rsidRPr="009316C4" w:rsidRDefault="00653AB9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9572" w:type="dxa"/>
            <w:shd w:val="clear" w:color="auto" w:fill="auto"/>
          </w:tcPr>
          <w:p w:rsidR="00653AB9" w:rsidRDefault="00653AB9" w:rsidP="00A164DE">
            <w:r w:rsidRPr="00F91536">
              <w:t>Enhancing critical thinking skills.</w:t>
            </w:r>
          </w:p>
        </w:tc>
      </w:tr>
    </w:tbl>
    <w:p w:rsidR="00653AB9" w:rsidRPr="00B32278" w:rsidRDefault="00653AB9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26519C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847243" w:rsidRDefault="00847243" w:rsidP="001B0E21">
            <w:pPr>
              <w:rPr>
                <w:rFonts w:ascii="Times New Roman" w:hAnsi="Times New Roman"/>
                <w:b/>
                <w:bCs/>
                <w:color w:val="0033CC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>Doaa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>Riziq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847243" w:rsidP="00981D6C">
            <w:pPr>
              <w:rPr>
                <w:rFonts w:ascii="Times New Roman" w:hAnsi="Times New Roman"/>
                <w:color w:val="0033CC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1</w:t>
            </w:r>
            <w:r w:rsidR="00981D6C">
              <w:rPr>
                <w:rFonts w:ascii="Times New Roman" w:hAnsi="Times New Roman"/>
                <w:color w:val="000000"/>
                <w:u w:color="0000FF"/>
              </w:rPr>
              <w:t>6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 </w:t>
            </w:r>
            <w:r>
              <w:rPr>
                <w:rFonts w:ascii="Times New Roman" w:hAnsi="Times New Roman"/>
                <w:color w:val="000000"/>
                <w:u w:color="0000FF"/>
              </w:rPr>
              <w:t>10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/</w:t>
            </w:r>
            <w:r>
              <w:rPr>
                <w:rFonts w:ascii="Times New Roman" w:hAnsi="Times New Roman"/>
                <w:color w:val="000000"/>
                <w:u w:color="0000FF"/>
              </w:rPr>
              <w:t xml:space="preserve"> 2019</w:t>
            </w:r>
          </w:p>
        </w:tc>
      </w:tr>
      <w:tr w:rsidR="00B32278" w:rsidRPr="0026519C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847243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33CC"/>
              </w:rPr>
              <w:t>Dr.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33CC"/>
              </w:rPr>
              <w:t>Bakir</w:t>
            </w:r>
            <w:proofErr w:type="spellEnd"/>
            <w:r w:rsidR="00FA17BA"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 w:rsidR="00FA17BA">
              <w:rPr>
                <w:rFonts w:ascii="Times New Roman" w:hAnsi="Times New Roman"/>
                <w:b/>
                <w:bCs/>
                <w:color w:val="0033CC"/>
              </w:rPr>
              <w:t>Bani</w:t>
            </w:r>
            <w:proofErr w:type="spellEnd"/>
            <w:r w:rsidR="00FA17BA"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 w:rsidR="00FA17BA">
              <w:rPr>
                <w:rFonts w:ascii="Times New Roman" w:hAnsi="Times New Roman"/>
                <w:b/>
                <w:bCs/>
                <w:color w:val="0033CC"/>
              </w:rPr>
              <w:t>Khair</w:t>
            </w:r>
            <w:proofErr w:type="spellEnd"/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847243" w:rsidP="00981D6C">
            <w:pPr>
              <w:rPr>
                <w:rFonts w:ascii="Times New Roman" w:hAnsi="Times New Roman"/>
                <w:color w:val="000000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1</w:t>
            </w:r>
            <w:r w:rsidR="00981D6C">
              <w:rPr>
                <w:rFonts w:ascii="Times New Roman" w:hAnsi="Times New Roman"/>
                <w:color w:val="000000"/>
                <w:u w:color="0000FF"/>
              </w:rPr>
              <w:t>6</w:t>
            </w:r>
            <w:r>
              <w:rPr>
                <w:rFonts w:ascii="Times New Roman" w:hAnsi="Times New Roman"/>
                <w:color w:val="000000"/>
                <w:u w:color="0000FF"/>
              </w:rPr>
              <w:t xml:space="preserve"> 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</w:t>
            </w:r>
            <w:r>
              <w:rPr>
                <w:rFonts w:ascii="Times New Roman" w:hAnsi="Times New Roman"/>
                <w:color w:val="000000"/>
                <w:u w:color="0000FF"/>
              </w:rPr>
              <w:t>10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 /</w:t>
            </w:r>
            <w:r>
              <w:rPr>
                <w:rFonts w:ascii="Times New Roman" w:hAnsi="Times New Roman"/>
                <w:color w:val="000000"/>
                <w:u w:color="0000FF"/>
              </w:rPr>
              <w:t xml:space="preserve"> 2019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15" w:rsidRDefault="00F01615">
      <w:r>
        <w:separator/>
      </w:r>
    </w:p>
  </w:endnote>
  <w:endnote w:type="continuationSeparator" w:id="0">
    <w:p w:rsidR="00F01615" w:rsidRDefault="00F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tiumBookBas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>
      <w:rPr>
        <w:rFonts w:ascii="Calibri" w:eastAsia="Calibri" w:hAnsi="Calibri" w:cs="Arial"/>
        <w:sz w:val="16"/>
        <w:szCs w:val="16"/>
      </w:rPr>
      <w:t xml:space="preserve">                                                                                                          </w:t>
    </w:r>
    <w:r w:rsidR="007425BD" w:rsidRPr="005D24C1">
      <w:rPr>
        <w:sz w:val="16"/>
        <w:szCs w:val="16"/>
      </w:rPr>
      <w:t xml:space="preserve">Page </w:t>
    </w:r>
    <w:r w:rsidR="008F16C6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8F16C6" w:rsidRPr="005D24C1">
      <w:rPr>
        <w:b/>
        <w:bCs/>
        <w:sz w:val="16"/>
        <w:szCs w:val="16"/>
      </w:rPr>
      <w:fldChar w:fldCharType="separate"/>
    </w:r>
    <w:r w:rsidR="009852A3">
      <w:rPr>
        <w:b/>
        <w:bCs/>
        <w:noProof/>
        <w:sz w:val="16"/>
        <w:szCs w:val="16"/>
      </w:rPr>
      <w:t>5</w:t>
    </w:r>
    <w:r w:rsidR="008F16C6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r w:rsidR="009852A3">
      <w:fldChar w:fldCharType="begin"/>
    </w:r>
    <w:r w:rsidR="009852A3">
      <w:instrText xml:space="preserve"> NUMPAGES  \* Arabic  \* MERGEFORMAT </w:instrText>
    </w:r>
    <w:r w:rsidR="009852A3">
      <w:fldChar w:fldCharType="separate"/>
    </w:r>
    <w:r w:rsidR="009852A3" w:rsidRPr="009852A3">
      <w:rPr>
        <w:b/>
        <w:bCs/>
        <w:noProof/>
        <w:sz w:val="16"/>
        <w:szCs w:val="16"/>
      </w:rPr>
      <w:t>6</w:t>
    </w:r>
    <w:r w:rsidR="009852A3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15" w:rsidRDefault="00F01615">
      <w:r>
        <w:separator/>
      </w:r>
    </w:p>
  </w:footnote>
  <w:footnote w:type="continuationSeparator" w:id="0">
    <w:p w:rsidR="00F01615" w:rsidRDefault="00F01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B719EA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B719EA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B719EA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B719EA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13D28"/>
    <w:multiLevelType w:val="hybridMultilevel"/>
    <w:tmpl w:val="E336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879"/>
    <w:multiLevelType w:val="hybridMultilevel"/>
    <w:tmpl w:val="08DE88CE"/>
    <w:lvl w:ilvl="0" w:tplc="11AC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47CDF"/>
    <w:multiLevelType w:val="hybridMultilevel"/>
    <w:tmpl w:val="B9CAFBAE"/>
    <w:lvl w:ilvl="0" w:tplc="F5624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7EBB"/>
    <w:multiLevelType w:val="hybridMultilevel"/>
    <w:tmpl w:val="D0E2EA6E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402AC"/>
    <w:multiLevelType w:val="hybridMultilevel"/>
    <w:tmpl w:val="7068A32A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4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25"/>
  </w:num>
  <w:num w:numId="13">
    <w:abstractNumId w:val="15"/>
  </w:num>
  <w:num w:numId="14">
    <w:abstractNumId w:val="14"/>
  </w:num>
  <w:num w:numId="15">
    <w:abstractNumId w:val="19"/>
  </w:num>
  <w:num w:numId="16">
    <w:abstractNumId w:val="20"/>
  </w:num>
  <w:num w:numId="17">
    <w:abstractNumId w:val="13"/>
  </w:num>
  <w:num w:numId="18">
    <w:abstractNumId w:val="23"/>
  </w:num>
  <w:num w:numId="19">
    <w:abstractNumId w:val="5"/>
  </w:num>
  <w:num w:numId="20">
    <w:abstractNumId w:val="10"/>
  </w:num>
  <w:num w:numId="21">
    <w:abstractNumId w:val="17"/>
  </w:num>
  <w:num w:numId="22">
    <w:abstractNumId w:val="22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8"/>
  </w:num>
  <w:num w:numId="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46985"/>
    <w:rsid w:val="00047D5D"/>
    <w:rsid w:val="000700F3"/>
    <w:rsid w:val="00084955"/>
    <w:rsid w:val="000A62F6"/>
    <w:rsid w:val="000B6C54"/>
    <w:rsid w:val="000C17DB"/>
    <w:rsid w:val="000C47AB"/>
    <w:rsid w:val="000C51E2"/>
    <w:rsid w:val="000E10C1"/>
    <w:rsid w:val="000F3831"/>
    <w:rsid w:val="000F6AE2"/>
    <w:rsid w:val="00100132"/>
    <w:rsid w:val="001128D9"/>
    <w:rsid w:val="001143B0"/>
    <w:rsid w:val="00121183"/>
    <w:rsid w:val="0012294E"/>
    <w:rsid w:val="00150244"/>
    <w:rsid w:val="00150C7F"/>
    <w:rsid w:val="001711B8"/>
    <w:rsid w:val="00172634"/>
    <w:rsid w:val="001731B3"/>
    <w:rsid w:val="00177B53"/>
    <w:rsid w:val="00177FDB"/>
    <w:rsid w:val="001876F5"/>
    <w:rsid w:val="00192405"/>
    <w:rsid w:val="0019383B"/>
    <w:rsid w:val="001A39E2"/>
    <w:rsid w:val="001B0E21"/>
    <w:rsid w:val="001C5385"/>
    <w:rsid w:val="001D1E9F"/>
    <w:rsid w:val="001D5714"/>
    <w:rsid w:val="001E1F32"/>
    <w:rsid w:val="001F2545"/>
    <w:rsid w:val="001F26BA"/>
    <w:rsid w:val="001F31EA"/>
    <w:rsid w:val="00201381"/>
    <w:rsid w:val="002026E9"/>
    <w:rsid w:val="002226E7"/>
    <w:rsid w:val="002304F4"/>
    <w:rsid w:val="002313CC"/>
    <w:rsid w:val="002346F7"/>
    <w:rsid w:val="002445EA"/>
    <w:rsid w:val="00266E80"/>
    <w:rsid w:val="00273F3C"/>
    <w:rsid w:val="00291693"/>
    <w:rsid w:val="002A092A"/>
    <w:rsid w:val="002A754A"/>
    <w:rsid w:val="002E659B"/>
    <w:rsid w:val="0030145C"/>
    <w:rsid w:val="00307D57"/>
    <w:rsid w:val="00310A24"/>
    <w:rsid w:val="00314838"/>
    <w:rsid w:val="00320BFA"/>
    <w:rsid w:val="003259AF"/>
    <w:rsid w:val="00334B3E"/>
    <w:rsid w:val="0033559A"/>
    <w:rsid w:val="003411E7"/>
    <w:rsid w:val="00373FBD"/>
    <w:rsid w:val="003843EA"/>
    <w:rsid w:val="003A7A5F"/>
    <w:rsid w:val="003B2120"/>
    <w:rsid w:val="003B64AF"/>
    <w:rsid w:val="003D0BBA"/>
    <w:rsid w:val="003D172F"/>
    <w:rsid w:val="003E08E7"/>
    <w:rsid w:val="003E1014"/>
    <w:rsid w:val="003E64FB"/>
    <w:rsid w:val="003F3EDD"/>
    <w:rsid w:val="0040165E"/>
    <w:rsid w:val="004202C0"/>
    <w:rsid w:val="0042205B"/>
    <w:rsid w:val="00426A22"/>
    <w:rsid w:val="00426C84"/>
    <w:rsid w:val="00437ECB"/>
    <w:rsid w:val="004434B1"/>
    <w:rsid w:val="0045110D"/>
    <w:rsid w:val="00453BFA"/>
    <w:rsid w:val="00473D5B"/>
    <w:rsid w:val="004941F4"/>
    <w:rsid w:val="004A2839"/>
    <w:rsid w:val="004A707E"/>
    <w:rsid w:val="004B0563"/>
    <w:rsid w:val="004B08D7"/>
    <w:rsid w:val="004B691F"/>
    <w:rsid w:val="004C39CD"/>
    <w:rsid w:val="004D2BE3"/>
    <w:rsid w:val="004F493F"/>
    <w:rsid w:val="005303D7"/>
    <w:rsid w:val="005472E9"/>
    <w:rsid w:val="00556B3F"/>
    <w:rsid w:val="00572F9A"/>
    <w:rsid w:val="00583F44"/>
    <w:rsid w:val="00592640"/>
    <w:rsid w:val="00597EAF"/>
    <w:rsid w:val="005B05A9"/>
    <w:rsid w:val="005B1749"/>
    <w:rsid w:val="005B3B00"/>
    <w:rsid w:val="005B5414"/>
    <w:rsid w:val="005C3CE3"/>
    <w:rsid w:val="005E3811"/>
    <w:rsid w:val="00601FBD"/>
    <w:rsid w:val="006050B8"/>
    <w:rsid w:val="00612738"/>
    <w:rsid w:val="00616DF2"/>
    <w:rsid w:val="00620096"/>
    <w:rsid w:val="006259D2"/>
    <w:rsid w:val="00627DDC"/>
    <w:rsid w:val="006457F7"/>
    <w:rsid w:val="0064628C"/>
    <w:rsid w:val="00650FA6"/>
    <w:rsid w:val="00653AB9"/>
    <w:rsid w:val="00663523"/>
    <w:rsid w:val="00666F28"/>
    <w:rsid w:val="00671D3D"/>
    <w:rsid w:val="006742A9"/>
    <w:rsid w:val="0067568D"/>
    <w:rsid w:val="00676685"/>
    <w:rsid w:val="00683A68"/>
    <w:rsid w:val="00693873"/>
    <w:rsid w:val="006A5EFA"/>
    <w:rsid w:val="006B022D"/>
    <w:rsid w:val="006B4DA5"/>
    <w:rsid w:val="006C2C6F"/>
    <w:rsid w:val="006F70C6"/>
    <w:rsid w:val="00700C7B"/>
    <w:rsid w:val="007113E3"/>
    <w:rsid w:val="0071196D"/>
    <w:rsid w:val="00715328"/>
    <w:rsid w:val="0071630C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83717"/>
    <w:rsid w:val="007A2BC7"/>
    <w:rsid w:val="007B266D"/>
    <w:rsid w:val="007B31BF"/>
    <w:rsid w:val="007D5C4F"/>
    <w:rsid w:val="007D6082"/>
    <w:rsid w:val="007D744E"/>
    <w:rsid w:val="007D76F3"/>
    <w:rsid w:val="007E0741"/>
    <w:rsid w:val="007E4658"/>
    <w:rsid w:val="007F629D"/>
    <w:rsid w:val="007F72A0"/>
    <w:rsid w:val="00800C80"/>
    <w:rsid w:val="008016F7"/>
    <w:rsid w:val="00804135"/>
    <w:rsid w:val="00817346"/>
    <w:rsid w:val="00824627"/>
    <w:rsid w:val="00832EDA"/>
    <w:rsid w:val="00837576"/>
    <w:rsid w:val="00840524"/>
    <w:rsid w:val="00847243"/>
    <w:rsid w:val="00852826"/>
    <w:rsid w:val="00867DED"/>
    <w:rsid w:val="00875618"/>
    <w:rsid w:val="00877AE3"/>
    <w:rsid w:val="008833FE"/>
    <w:rsid w:val="008931AC"/>
    <w:rsid w:val="008A5694"/>
    <w:rsid w:val="008B05EA"/>
    <w:rsid w:val="008B5A23"/>
    <w:rsid w:val="008B5E97"/>
    <w:rsid w:val="008C2A1E"/>
    <w:rsid w:val="008D502E"/>
    <w:rsid w:val="008F16C6"/>
    <w:rsid w:val="008F2A28"/>
    <w:rsid w:val="008F32BC"/>
    <w:rsid w:val="008F7791"/>
    <w:rsid w:val="00905EDF"/>
    <w:rsid w:val="00920768"/>
    <w:rsid w:val="0092582E"/>
    <w:rsid w:val="009310E1"/>
    <w:rsid w:val="009316C4"/>
    <w:rsid w:val="00934132"/>
    <w:rsid w:val="00955553"/>
    <w:rsid w:val="00956EC6"/>
    <w:rsid w:val="00965D7E"/>
    <w:rsid w:val="009777FC"/>
    <w:rsid w:val="00981D6C"/>
    <w:rsid w:val="009852A3"/>
    <w:rsid w:val="00990C57"/>
    <w:rsid w:val="0099241C"/>
    <w:rsid w:val="00997FE9"/>
    <w:rsid w:val="009A550F"/>
    <w:rsid w:val="009A7C82"/>
    <w:rsid w:val="009B6777"/>
    <w:rsid w:val="009C6D3F"/>
    <w:rsid w:val="009E5872"/>
    <w:rsid w:val="009E6C5C"/>
    <w:rsid w:val="009F02E9"/>
    <w:rsid w:val="009F38DA"/>
    <w:rsid w:val="009F7B84"/>
    <w:rsid w:val="00A01E24"/>
    <w:rsid w:val="00A1666C"/>
    <w:rsid w:val="00A2419F"/>
    <w:rsid w:val="00A41DD0"/>
    <w:rsid w:val="00A420B1"/>
    <w:rsid w:val="00A42EC1"/>
    <w:rsid w:val="00A43982"/>
    <w:rsid w:val="00A44F3D"/>
    <w:rsid w:val="00A45946"/>
    <w:rsid w:val="00A462FD"/>
    <w:rsid w:val="00A623BB"/>
    <w:rsid w:val="00A62B44"/>
    <w:rsid w:val="00A76B27"/>
    <w:rsid w:val="00A90D1D"/>
    <w:rsid w:val="00A9678E"/>
    <w:rsid w:val="00AA1643"/>
    <w:rsid w:val="00AC7CEF"/>
    <w:rsid w:val="00AD1543"/>
    <w:rsid w:val="00AF1F63"/>
    <w:rsid w:val="00AF4303"/>
    <w:rsid w:val="00B016DA"/>
    <w:rsid w:val="00B04B7D"/>
    <w:rsid w:val="00B10A55"/>
    <w:rsid w:val="00B143AC"/>
    <w:rsid w:val="00B20BF7"/>
    <w:rsid w:val="00B32278"/>
    <w:rsid w:val="00B45831"/>
    <w:rsid w:val="00B461DD"/>
    <w:rsid w:val="00B469FF"/>
    <w:rsid w:val="00B51B69"/>
    <w:rsid w:val="00B53C33"/>
    <w:rsid w:val="00B57157"/>
    <w:rsid w:val="00B719EA"/>
    <w:rsid w:val="00B73973"/>
    <w:rsid w:val="00B818EA"/>
    <w:rsid w:val="00B87030"/>
    <w:rsid w:val="00B91B1A"/>
    <w:rsid w:val="00BA0368"/>
    <w:rsid w:val="00BA34C9"/>
    <w:rsid w:val="00BC6102"/>
    <w:rsid w:val="00BF0CBC"/>
    <w:rsid w:val="00BF7BC2"/>
    <w:rsid w:val="00C06816"/>
    <w:rsid w:val="00C32ACE"/>
    <w:rsid w:val="00C40086"/>
    <w:rsid w:val="00C67D03"/>
    <w:rsid w:val="00C8024C"/>
    <w:rsid w:val="00C87B41"/>
    <w:rsid w:val="00CA5A23"/>
    <w:rsid w:val="00CB1694"/>
    <w:rsid w:val="00CC4F1F"/>
    <w:rsid w:val="00CC5A78"/>
    <w:rsid w:val="00CD0E7E"/>
    <w:rsid w:val="00CD6B52"/>
    <w:rsid w:val="00CF4B5C"/>
    <w:rsid w:val="00D012E8"/>
    <w:rsid w:val="00D04E27"/>
    <w:rsid w:val="00D05C7C"/>
    <w:rsid w:val="00D11748"/>
    <w:rsid w:val="00D15F67"/>
    <w:rsid w:val="00D206A9"/>
    <w:rsid w:val="00D22CD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A6135"/>
    <w:rsid w:val="00DB2064"/>
    <w:rsid w:val="00DB6081"/>
    <w:rsid w:val="00DB72E5"/>
    <w:rsid w:val="00DD25CD"/>
    <w:rsid w:val="00DD2F3B"/>
    <w:rsid w:val="00DF1E20"/>
    <w:rsid w:val="00E03049"/>
    <w:rsid w:val="00E15C93"/>
    <w:rsid w:val="00E1761B"/>
    <w:rsid w:val="00E27632"/>
    <w:rsid w:val="00E37080"/>
    <w:rsid w:val="00E40BA7"/>
    <w:rsid w:val="00E546E1"/>
    <w:rsid w:val="00E55E19"/>
    <w:rsid w:val="00E60635"/>
    <w:rsid w:val="00E73622"/>
    <w:rsid w:val="00E77EE6"/>
    <w:rsid w:val="00E92AE5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F01615"/>
    <w:rsid w:val="00F06879"/>
    <w:rsid w:val="00F07062"/>
    <w:rsid w:val="00F159FF"/>
    <w:rsid w:val="00F248B9"/>
    <w:rsid w:val="00F24D05"/>
    <w:rsid w:val="00F318D9"/>
    <w:rsid w:val="00F34CB9"/>
    <w:rsid w:val="00F438C1"/>
    <w:rsid w:val="00F50625"/>
    <w:rsid w:val="00F51120"/>
    <w:rsid w:val="00F514AB"/>
    <w:rsid w:val="00F57F5A"/>
    <w:rsid w:val="00F65973"/>
    <w:rsid w:val="00F8701E"/>
    <w:rsid w:val="00FA17BA"/>
    <w:rsid w:val="00FA6305"/>
    <w:rsid w:val="00FC596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5:docId w15:val="{B28CCA7F-9C71-46B9-9C4A-82440870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oaa.riziq@iu.edu.j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tima.al-qeyam@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92DEA7-DCDF-4858-8592-3A4726EB8C61}">
  <ds:schemaRefs>
    <ds:schemaRef ds:uri="45804768-7f68-44ad-8493-733ff8c0415e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c854669-c37d-4e1c-9895-ff9cd39da670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7F600DB-EA5F-443A-86A2-AC73103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184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6414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10</cp:revision>
  <cp:lastPrinted>2020-10-20T10:25:00Z</cp:lastPrinted>
  <dcterms:created xsi:type="dcterms:W3CDTF">2019-06-11T07:24:00Z</dcterms:created>
  <dcterms:modified xsi:type="dcterms:W3CDTF">2020-10-20T10:25:00Z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