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F" w:rsidRPr="00A16331" w:rsidRDefault="00915E1F" w:rsidP="00915E1F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سيكولوجية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 xml:space="preserve">الإعلام:  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01074104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الساعات:3 </w:t>
      </w:r>
    </w:p>
    <w:p w:rsidR="00915E1F" w:rsidRPr="00A16331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الحواس والإحساس والإدراك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الحسي:سيكولوجي</w:t>
      </w:r>
      <w:r w:rsidRPr="00A16331">
        <w:rPr>
          <w:rFonts w:ascii="Calibri Light" w:hAnsi="Calibri Light" w:cs="Khalid Art bold" w:hint="eastAsia"/>
          <w:sz w:val="24"/>
          <w:szCs w:val="24"/>
          <w:rtl/>
        </w:rPr>
        <w:t>ة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الإحساس، الإدراك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الحسي،</w:t>
      </w:r>
      <w:r>
        <w:rPr>
          <w:rFonts w:ascii="Calibri Light" w:hAnsi="Calibri Light" w:cs="Khalid Art bold"/>
          <w:sz w:val="24"/>
          <w:szCs w:val="24"/>
          <w:rtl/>
        </w:rPr>
        <w:t xml:space="preserve"> المحددات الإدراكية في ال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 w:rsidRPr="00A16331">
        <w:rPr>
          <w:rFonts w:ascii="Calibri Light" w:hAnsi="Calibri Light" w:cs="Khalid Art bold"/>
          <w:sz w:val="24"/>
          <w:szCs w:val="24"/>
          <w:rtl/>
        </w:rPr>
        <w:t>دراك الحسي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915E1F" w:rsidRPr="00A16331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 w:hint="cs"/>
          <w:sz w:val="24"/>
          <w:szCs w:val="24"/>
          <w:rtl/>
        </w:rPr>
        <w:t>الاتجاهات:تعريفها،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تكوينها، أنواعها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915E1F" w:rsidRPr="00A16331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النظريات المفسرة للاتصال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والإعلام.</w:t>
      </w:r>
    </w:p>
    <w:p w:rsidR="00915E1F" w:rsidRPr="00A16331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 w:hint="cs"/>
          <w:sz w:val="24"/>
          <w:szCs w:val="24"/>
          <w:rtl/>
        </w:rPr>
        <w:t>سيكولوجية الإعلا</w:t>
      </w:r>
      <w:r w:rsidRPr="00A16331">
        <w:rPr>
          <w:rFonts w:ascii="Calibri Light" w:hAnsi="Calibri Light" w:cs="Khalid Art bold" w:hint="eastAsia"/>
          <w:sz w:val="24"/>
          <w:szCs w:val="24"/>
          <w:rtl/>
        </w:rPr>
        <w:t>م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: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وسائل الدعاية والإعلام، دراسة المضمون الإعلامي وأثره في الجماهير، دراسة عدد الجمهور، خصائص وسائل الإعلام وأثرها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915E1F" w:rsidRPr="00A16331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 w:hint="cs"/>
          <w:sz w:val="24"/>
          <w:szCs w:val="24"/>
          <w:rtl/>
        </w:rPr>
        <w:t>سيكولوجية الإعلا</w:t>
      </w:r>
      <w:r w:rsidRPr="00A16331">
        <w:rPr>
          <w:rFonts w:ascii="Calibri Light" w:hAnsi="Calibri Light" w:cs="Khalid Art bold" w:hint="eastAsia"/>
          <w:sz w:val="24"/>
          <w:szCs w:val="24"/>
          <w:rtl/>
        </w:rPr>
        <w:t>ن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: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معنى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الإعلان، وسائل</w:t>
      </w:r>
      <w:r>
        <w:rPr>
          <w:rFonts w:ascii="Calibri Light" w:hAnsi="Calibri Light" w:cs="Khalid Art bold" w:hint="cs"/>
          <w:sz w:val="24"/>
          <w:szCs w:val="24"/>
          <w:rtl/>
        </w:rPr>
        <w:t xml:space="preserve">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الإعلان،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ذكر أمثلة تطبيقية توضح الإطار النظري للإعلان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915E1F" w:rsidRDefault="00915E1F" w:rsidP="00915E1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 w:hint="cs"/>
          <w:sz w:val="24"/>
          <w:szCs w:val="24"/>
          <w:rtl/>
        </w:rPr>
        <w:t>سيكولوجي</w:t>
      </w:r>
      <w:r w:rsidRPr="00A16331">
        <w:rPr>
          <w:rFonts w:ascii="Calibri Light" w:hAnsi="Calibri Light" w:cs="Khalid Art bold" w:hint="eastAsia"/>
          <w:sz w:val="24"/>
          <w:szCs w:val="24"/>
          <w:rtl/>
        </w:rPr>
        <w:t>ة</w:t>
      </w:r>
      <w:r>
        <w:rPr>
          <w:rFonts w:ascii="Calibri Light" w:hAnsi="Calibri Light" w:cs="Khalid Art bold" w:hint="cs"/>
          <w:sz w:val="24"/>
          <w:szCs w:val="24"/>
          <w:rtl/>
        </w:rPr>
        <w:t xml:space="preserve"> 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أنواع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الدعاية،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أهمية ا</w:t>
      </w:r>
      <w:r>
        <w:rPr>
          <w:rFonts w:ascii="Calibri Light" w:hAnsi="Calibri Light" w:cs="Khalid Art bold"/>
          <w:sz w:val="24"/>
          <w:szCs w:val="24"/>
          <w:rtl/>
        </w:rPr>
        <w:t xml:space="preserve">لدعاية في ترويج السلعة، تقنيات 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عداد الدعاية. 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5E1F"/>
    <w:rsid w:val="00362649"/>
    <w:rsid w:val="004248C9"/>
    <w:rsid w:val="0091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2020-10-14T10:08:00Z</dcterms:created>
  <dcterms:modified xsi:type="dcterms:W3CDTF">2020-10-14T10:10:00Z</dcterms:modified>
</cp:coreProperties>
</file>